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DE4" w:rsidRPr="00FC6A0D" w:rsidRDefault="00F842D7" w:rsidP="009A3FAD">
      <w:pPr>
        <w:spacing w:after="0"/>
        <w:rPr>
          <w:rFonts w:ascii="Space Ranger" w:hAnsi="Space Ranger"/>
          <w:color w:val="FF0000"/>
          <w:sz w:val="40"/>
          <w:szCs w:val="40"/>
        </w:rPr>
      </w:pPr>
      <w:r w:rsidRPr="00FC6A0D">
        <w:rPr>
          <w:rFonts w:ascii="Space Ranger" w:hAnsi="Space Ranger"/>
          <w:noProof/>
          <w:color w:val="FF0000"/>
          <w:sz w:val="40"/>
          <w:szCs w:val="40"/>
          <w:lang w:eastAsia="fr-FR"/>
        </w:rPr>
        <w:drawing>
          <wp:inline distT="0" distB="0" distL="0" distR="0">
            <wp:extent cx="3377778" cy="533333"/>
            <wp:effectExtent l="19050" t="0" r="0" b="0"/>
            <wp:docPr id="2" name="Image 1" descr="heade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2.png"/>
                    <pic:cNvPicPr/>
                  </pic:nvPicPr>
                  <pic:blipFill>
                    <a:blip r:embed="rId8" cstate="print"/>
                    <a:stretch>
                      <a:fillRect/>
                    </a:stretch>
                  </pic:blipFill>
                  <pic:spPr>
                    <a:xfrm>
                      <a:off x="0" y="0"/>
                      <a:ext cx="3377778" cy="533333"/>
                    </a:xfrm>
                    <a:prstGeom prst="rect">
                      <a:avLst/>
                    </a:prstGeom>
                  </pic:spPr>
                </pic:pic>
              </a:graphicData>
            </a:graphic>
          </wp:inline>
        </w:drawing>
      </w:r>
      <w:r w:rsidRPr="00FC6A0D">
        <w:rPr>
          <w:rFonts w:ascii="Space Ranger" w:hAnsi="Space Ranger"/>
          <w:color w:val="FF0000"/>
          <w:sz w:val="40"/>
          <w:szCs w:val="40"/>
        </w:rPr>
        <w:t>.com</w:t>
      </w:r>
      <w:r w:rsidR="00D95F43" w:rsidRPr="00FC6A0D">
        <w:rPr>
          <w:rFonts w:ascii="Space Ranger" w:hAnsi="Space Ranger"/>
          <w:color w:val="FF0000"/>
          <w:sz w:val="40"/>
          <w:szCs w:val="40"/>
        </w:rPr>
        <w:t xml:space="preserve"> </w:t>
      </w:r>
      <w:r w:rsidR="00D95F43" w:rsidRPr="00FC6A0D">
        <w:rPr>
          <w:rFonts w:ascii="Space Ranger" w:hAnsi="Space Ranger"/>
          <w:color w:val="FF0000"/>
          <w:sz w:val="40"/>
          <w:szCs w:val="40"/>
        </w:rPr>
        <w:tab/>
      </w:r>
    </w:p>
    <w:p w:rsidR="00D114E7" w:rsidRPr="00E646FD" w:rsidRDefault="00A23A98" w:rsidP="0016169A">
      <w:pPr>
        <w:pBdr>
          <w:bottom w:val="single" w:sz="6" w:space="2" w:color="auto"/>
        </w:pBdr>
        <w:spacing w:after="0"/>
        <w:jc w:val="center"/>
        <w:rPr>
          <w:rFonts w:ascii="Book Antiqua" w:hAnsi="Book Antiqua"/>
          <w:b/>
          <w:bCs/>
          <w:color w:val="0070C0"/>
          <w:sz w:val="48"/>
          <w:szCs w:val="48"/>
        </w:rPr>
        <w:sectPr w:rsidR="00D114E7" w:rsidRPr="00E646FD" w:rsidSect="00D95F43">
          <w:footerReference w:type="default" r:id="rId9"/>
          <w:type w:val="continuous"/>
          <w:pgSz w:w="11906" w:h="16838"/>
          <w:pgMar w:top="720" w:right="720" w:bottom="720" w:left="720" w:header="708" w:footer="708" w:gutter="0"/>
          <w:cols w:space="708"/>
          <w:docGrid w:linePitch="360"/>
        </w:sectPr>
      </w:pPr>
      <w:r w:rsidRPr="00096661">
        <w:rPr>
          <w:rFonts w:ascii="Book Antiqua" w:hAnsi="Book Antiqua"/>
          <w:b/>
          <w:bCs/>
          <w:color w:val="0070C0"/>
          <w:sz w:val="48"/>
          <w:szCs w:val="48"/>
        </w:rPr>
        <w:t>QCM</w:t>
      </w:r>
      <w:r w:rsidR="0016169A">
        <w:rPr>
          <w:rFonts w:ascii="Book Antiqua" w:hAnsi="Book Antiqua"/>
          <w:b/>
          <w:bCs/>
          <w:color w:val="0070C0"/>
          <w:sz w:val="48"/>
          <w:szCs w:val="48"/>
        </w:rPr>
        <w:t xml:space="preserve"> : Diabète &amp; Grossesse </w:t>
      </w:r>
      <w:r w:rsidR="000E0616">
        <w:rPr>
          <w:rFonts w:ascii="Book Antiqua" w:hAnsi="Book Antiqua"/>
          <w:b/>
          <w:bCs/>
          <w:color w:val="0070C0"/>
          <w:sz w:val="48"/>
          <w:szCs w:val="48"/>
        </w:rPr>
        <w:t>(1)</w:t>
      </w:r>
    </w:p>
    <w:p w:rsidR="000E0616" w:rsidRPr="000E0616" w:rsidRDefault="000E0616" w:rsidP="000E0616">
      <w:pPr>
        <w:spacing w:after="0"/>
        <w:rPr>
          <w:rFonts w:ascii="Tahoma" w:hAnsi="Tahoma" w:cs="Tahoma"/>
          <w:b/>
          <w:bCs/>
        </w:rPr>
      </w:pPr>
      <w:r w:rsidRPr="000E0616">
        <w:rPr>
          <w:rFonts w:ascii="Tahoma" w:hAnsi="Tahoma" w:cs="Tahoma"/>
          <w:b/>
          <w:bCs/>
        </w:rPr>
        <w:lastRenderedPageBreak/>
        <w:t>1- Le traitement d'un diabète au cours d'une grossesse est incompatible avec la (les) proposition(s) suivante(s):</w:t>
      </w:r>
    </w:p>
    <w:p w:rsidR="000E0616" w:rsidRPr="000E0616" w:rsidRDefault="000E0616" w:rsidP="000E0616">
      <w:pPr>
        <w:spacing w:after="0"/>
        <w:rPr>
          <w:rFonts w:ascii="Tahoma" w:hAnsi="Tahoma" w:cs="Tahoma"/>
        </w:rPr>
      </w:pPr>
      <w:r w:rsidRPr="000E0616">
        <w:rPr>
          <w:rFonts w:ascii="Tahoma" w:hAnsi="Tahoma" w:cs="Tahoma"/>
        </w:rPr>
        <w:t xml:space="preserve">A. un apport glucidique réduit </w:t>
      </w:r>
    </w:p>
    <w:p w:rsidR="000E0616" w:rsidRPr="000E0616" w:rsidRDefault="000E0616" w:rsidP="000E0616">
      <w:pPr>
        <w:spacing w:after="0"/>
        <w:rPr>
          <w:rFonts w:ascii="Tahoma" w:hAnsi="Tahoma" w:cs="Tahoma"/>
        </w:rPr>
      </w:pPr>
      <w:r w:rsidRPr="000E0616">
        <w:rPr>
          <w:rFonts w:ascii="Tahoma" w:hAnsi="Tahoma" w:cs="Tahoma"/>
        </w:rPr>
        <w:t>B. un traitement par un biguanide</w:t>
      </w:r>
    </w:p>
    <w:p w:rsidR="000E0616" w:rsidRPr="000E0616" w:rsidRDefault="000E0616" w:rsidP="000E0616">
      <w:pPr>
        <w:spacing w:after="0"/>
        <w:rPr>
          <w:rFonts w:ascii="Tahoma" w:hAnsi="Tahoma" w:cs="Tahoma"/>
        </w:rPr>
      </w:pPr>
      <w:r w:rsidRPr="000E0616">
        <w:rPr>
          <w:rFonts w:ascii="Tahoma" w:hAnsi="Tahoma" w:cs="Tahoma"/>
        </w:rPr>
        <w:t xml:space="preserve">C. trois injections quotidiennes d'insuline </w:t>
      </w:r>
    </w:p>
    <w:p w:rsidR="000E0616" w:rsidRPr="000E0616" w:rsidRDefault="000E0616" w:rsidP="000E0616">
      <w:pPr>
        <w:spacing w:after="0"/>
        <w:rPr>
          <w:rFonts w:ascii="Tahoma" w:hAnsi="Tahoma" w:cs="Tahoma"/>
        </w:rPr>
      </w:pPr>
      <w:r w:rsidRPr="000E0616">
        <w:rPr>
          <w:rFonts w:ascii="Tahoma" w:hAnsi="Tahoma" w:cs="Tahoma"/>
        </w:rPr>
        <w:t>D. un traitement par une sulfonylurée</w:t>
      </w:r>
    </w:p>
    <w:p w:rsidR="000E0616" w:rsidRPr="000E0616" w:rsidRDefault="000E0616" w:rsidP="000E0616">
      <w:pPr>
        <w:spacing w:after="0"/>
        <w:rPr>
          <w:rFonts w:ascii="Tahoma" w:hAnsi="Tahoma" w:cs="Tahoma"/>
        </w:rPr>
      </w:pPr>
      <w:r w:rsidRPr="000E0616">
        <w:rPr>
          <w:rFonts w:ascii="Tahoma" w:hAnsi="Tahoma" w:cs="Tahoma"/>
        </w:rPr>
        <w:t>E. une insulinothérapie par pompe portable</w:t>
      </w:r>
    </w:p>
    <w:p w:rsidR="000E0616" w:rsidRPr="000E0616" w:rsidRDefault="000E0616" w:rsidP="000E0616">
      <w:pPr>
        <w:spacing w:after="0"/>
        <w:rPr>
          <w:rFonts w:ascii="Tahoma" w:hAnsi="Tahoma" w:cs="Tahoma"/>
          <w:b/>
          <w:bCs/>
        </w:rPr>
      </w:pPr>
      <w:r w:rsidRPr="000E0616">
        <w:rPr>
          <w:rFonts w:ascii="Tahoma" w:hAnsi="Tahoma" w:cs="Tahoma"/>
          <w:b/>
          <w:bCs/>
        </w:rPr>
        <w:t>2- Quelles sont, parmi les suivantes, les complications qui peuvent se rencontrer lors d'une grossesse chez une femme diabétique ?</w:t>
      </w:r>
    </w:p>
    <w:p w:rsidR="000E0616" w:rsidRPr="000E0616" w:rsidRDefault="000E0616" w:rsidP="000E0616">
      <w:pPr>
        <w:spacing w:after="0"/>
        <w:rPr>
          <w:rFonts w:ascii="Tahoma" w:hAnsi="Tahoma" w:cs="Tahoma"/>
        </w:rPr>
      </w:pPr>
      <w:r w:rsidRPr="000E0616">
        <w:rPr>
          <w:rFonts w:ascii="Tahoma" w:hAnsi="Tahoma" w:cs="Tahoma"/>
        </w:rPr>
        <w:t>A. Hydramnios</w:t>
      </w:r>
    </w:p>
    <w:p w:rsidR="000E0616" w:rsidRPr="000E0616" w:rsidRDefault="000E0616" w:rsidP="000E0616">
      <w:pPr>
        <w:spacing w:after="0"/>
        <w:rPr>
          <w:rFonts w:ascii="Tahoma" w:hAnsi="Tahoma" w:cs="Tahoma"/>
        </w:rPr>
      </w:pPr>
      <w:r w:rsidRPr="000E0616">
        <w:rPr>
          <w:rFonts w:ascii="Tahoma" w:hAnsi="Tahoma" w:cs="Tahoma"/>
        </w:rPr>
        <w:t>B. Toxémie gravidique</w:t>
      </w:r>
    </w:p>
    <w:p w:rsidR="000E0616" w:rsidRPr="000E0616" w:rsidRDefault="000E0616" w:rsidP="000E0616">
      <w:pPr>
        <w:spacing w:after="0"/>
        <w:rPr>
          <w:rFonts w:ascii="Tahoma" w:hAnsi="Tahoma" w:cs="Tahoma"/>
        </w:rPr>
      </w:pPr>
      <w:r>
        <w:rPr>
          <w:rFonts w:ascii="Tahoma" w:hAnsi="Tahoma" w:cs="Tahoma"/>
          <w:b/>
          <w:bCs/>
          <w:noProof/>
          <w:lang w:eastAsia="fr-FR"/>
        </w:rPr>
        <w:pict>
          <v:rect id="_x0000_s1034" style="position:absolute;margin-left:449.25pt;margin-top:6.4pt;width:66pt;height:82.5pt;z-index:251658240" strokeweight="2.25pt">
            <v:textbox>
              <w:txbxContent>
                <w:p w:rsidR="000E0616" w:rsidRDefault="000E0616" w:rsidP="000E0616">
                  <w:pPr>
                    <w:spacing w:after="0"/>
                  </w:pPr>
                  <w:r>
                    <w:t xml:space="preserve">1- BD </w:t>
                  </w:r>
                </w:p>
                <w:p w:rsidR="000E0616" w:rsidRDefault="000E0616" w:rsidP="000E0616">
                  <w:pPr>
                    <w:spacing w:after="0"/>
                  </w:pPr>
                  <w:r>
                    <w:t xml:space="preserve">2- ABCDE </w:t>
                  </w:r>
                </w:p>
                <w:p w:rsidR="000E0616" w:rsidRDefault="000E0616" w:rsidP="000E0616">
                  <w:pPr>
                    <w:spacing w:after="0"/>
                  </w:pPr>
                  <w:r>
                    <w:t xml:space="preserve">3- ABCE </w:t>
                  </w:r>
                </w:p>
                <w:p w:rsidR="000E0616" w:rsidRDefault="000E0616" w:rsidP="000E0616">
                  <w:pPr>
                    <w:spacing w:after="0"/>
                  </w:pPr>
                  <w:r>
                    <w:t xml:space="preserve">4- AD </w:t>
                  </w:r>
                </w:p>
                <w:p w:rsidR="000E0616" w:rsidRDefault="000E0616" w:rsidP="000E0616">
                  <w:pPr>
                    <w:spacing w:after="0"/>
                  </w:pPr>
                  <w:r>
                    <w:t>5- D</w:t>
                  </w:r>
                </w:p>
              </w:txbxContent>
            </v:textbox>
          </v:rect>
        </w:pict>
      </w:r>
      <w:r w:rsidRPr="000E0616">
        <w:rPr>
          <w:rFonts w:ascii="Tahoma" w:hAnsi="Tahoma" w:cs="Tahoma"/>
        </w:rPr>
        <w:t>C. Souffrance foetale chronique</w:t>
      </w:r>
    </w:p>
    <w:p w:rsidR="000E0616" w:rsidRPr="000E0616" w:rsidRDefault="000E0616" w:rsidP="000E0616">
      <w:pPr>
        <w:spacing w:after="0"/>
        <w:rPr>
          <w:rFonts w:ascii="Tahoma" w:hAnsi="Tahoma" w:cs="Tahoma"/>
        </w:rPr>
      </w:pPr>
      <w:r w:rsidRPr="000E0616">
        <w:rPr>
          <w:rFonts w:ascii="Tahoma" w:hAnsi="Tahoma" w:cs="Tahoma"/>
        </w:rPr>
        <w:t>D. Infection urinaire</w:t>
      </w:r>
    </w:p>
    <w:p w:rsidR="000E0616" w:rsidRPr="000E0616" w:rsidRDefault="000E0616" w:rsidP="000E0616">
      <w:pPr>
        <w:spacing w:after="0"/>
        <w:rPr>
          <w:rFonts w:ascii="Tahoma" w:hAnsi="Tahoma" w:cs="Tahoma"/>
        </w:rPr>
      </w:pPr>
      <w:r w:rsidRPr="000E0616">
        <w:rPr>
          <w:rFonts w:ascii="Tahoma" w:hAnsi="Tahoma" w:cs="Tahoma"/>
        </w:rPr>
        <w:t>E. Macrosomie</w:t>
      </w:r>
    </w:p>
    <w:p w:rsidR="000E0616" w:rsidRPr="000E0616" w:rsidRDefault="000E0616" w:rsidP="000E0616">
      <w:pPr>
        <w:spacing w:after="0"/>
        <w:rPr>
          <w:rFonts w:ascii="Tahoma" w:hAnsi="Tahoma" w:cs="Tahoma"/>
          <w:b/>
          <w:bCs/>
        </w:rPr>
      </w:pPr>
      <w:r w:rsidRPr="000E0616">
        <w:rPr>
          <w:rFonts w:ascii="Tahoma" w:hAnsi="Tahoma" w:cs="Tahoma"/>
          <w:b/>
          <w:bCs/>
        </w:rPr>
        <w:t>3- Un diabète gestationnel :</w:t>
      </w:r>
    </w:p>
    <w:p w:rsidR="000E0616" w:rsidRPr="000E0616" w:rsidRDefault="000E0616" w:rsidP="000E0616">
      <w:pPr>
        <w:spacing w:after="0"/>
        <w:rPr>
          <w:rFonts w:ascii="Tahoma" w:hAnsi="Tahoma" w:cs="Tahoma"/>
        </w:rPr>
      </w:pPr>
      <w:r w:rsidRPr="000E0616">
        <w:rPr>
          <w:rFonts w:ascii="Tahoma" w:hAnsi="Tahoma" w:cs="Tahoma"/>
        </w:rPr>
        <w:t>A. n'expose pas au risque de malformation</w:t>
      </w:r>
    </w:p>
    <w:p w:rsidR="000E0616" w:rsidRPr="000E0616" w:rsidRDefault="000E0616" w:rsidP="000E0616">
      <w:pPr>
        <w:spacing w:after="0"/>
        <w:rPr>
          <w:rFonts w:ascii="Tahoma" w:hAnsi="Tahoma" w:cs="Tahoma"/>
        </w:rPr>
      </w:pPr>
      <w:r w:rsidRPr="000E0616">
        <w:rPr>
          <w:rFonts w:ascii="Tahoma" w:hAnsi="Tahoma" w:cs="Tahoma"/>
        </w:rPr>
        <w:t>B. relève d'une diététique stricte, en cas d'échec d'un passage à l'insuline</w:t>
      </w:r>
    </w:p>
    <w:p w:rsidR="000E0616" w:rsidRPr="000E0616" w:rsidRDefault="000E0616" w:rsidP="000E0616">
      <w:pPr>
        <w:spacing w:after="0"/>
        <w:rPr>
          <w:rFonts w:ascii="Tahoma" w:hAnsi="Tahoma" w:cs="Tahoma"/>
        </w:rPr>
      </w:pPr>
      <w:r w:rsidRPr="000E0616">
        <w:rPr>
          <w:rFonts w:ascii="Tahoma" w:hAnsi="Tahoma" w:cs="Tahoma"/>
        </w:rPr>
        <w:t>C. expose au risque de macrosomie</w:t>
      </w:r>
    </w:p>
    <w:p w:rsidR="000E0616" w:rsidRPr="000E0616" w:rsidRDefault="000E0616" w:rsidP="000E0616">
      <w:pPr>
        <w:spacing w:after="0"/>
        <w:rPr>
          <w:rFonts w:ascii="Tahoma" w:hAnsi="Tahoma" w:cs="Tahoma"/>
        </w:rPr>
      </w:pPr>
      <w:r w:rsidRPr="000E0616">
        <w:rPr>
          <w:rFonts w:ascii="Tahoma" w:hAnsi="Tahoma" w:cs="Tahoma"/>
        </w:rPr>
        <w:t>D. ne prédit pas un risque accru de diabète pour le futur de la patiente</w:t>
      </w:r>
    </w:p>
    <w:p w:rsidR="000E0616" w:rsidRPr="000E0616" w:rsidRDefault="000E0616" w:rsidP="000E0616">
      <w:pPr>
        <w:spacing w:after="0"/>
        <w:rPr>
          <w:rFonts w:ascii="Tahoma" w:hAnsi="Tahoma" w:cs="Tahoma"/>
        </w:rPr>
      </w:pPr>
      <w:r w:rsidRPr="000E0616">
        <w:rPr>
          <w:rFonts w:ascii="Tahoma" w:hAnsi="Tahoma" w:cs="Tahoma"/>
        </w:rPr>
        <w:t>E. doit être systématiquement recherché si la mère de la patiente est diabétique de type 2</w:t>
      </w:r>
    </w:p>
    <w:p w:rsidR="000E0616" w:rsidRPr="000E0616" w:rsidRDefault="000E0616" w:rsidP="000E0616">
      <w:pPr>
        <w:spacing w:after="0"/>
        <w:rPr>
          <w:rFonts w:ascii="Tahoma" w:hAnsi="Tahoma" w:cs="Tahoma"/>
          <w:b/>
          <w:bCs/>
        </w:rPr>
      </w:pPr>
      <w:r w:rsidRPr="000E0616">
        <w:rPr>
          <w:rFonts w:ascii="Tahoma" w:hAnsi="Tahoma" w:cs="Tahoma"/>
          <w:b/>
          <w:bCs/>
        </w:rPr>
        <w:t xml:space="preserve">4- Les variations métaboliques chez la femme enceinte à risque de diabète ou diabétique sont décrites par : </w:t>
      </w:r>
    </w:p>
    <w:p w:rsidR="000E0616" w:rsidRPr="000E0616" w:rsidRDefault="000E0616" w:rsidP="000E0616">
      <w:pPr>
        <w:spacing w:after="0"/>
        <w:rPr>
          <w:rFonts w:ascii="Tahoma" w:hAnsi="Tahoma" w:cs="Tahoma"/>
        </w:rPr>
      </w:pPr>
      <w:r w:rsidRPr="000E0616">
        <w:rPr>
          <w:rFonts w:ascii="Tahoma" w:hAnsi="Tahoma" w:cs="Tahoma"/>
        </w:rPr>
        <w:t>A.  une tendance à l’hypoglycémie, la cétose pendant la 1e moitié de la grossesse et l’insuffisance de l’insulinosécrétion et présence de l’hyperglycémie en cas de diabète pré-gestationnel ou de révélation d’un diabète gestationnel pendant la 2e moitié.</w:t>
      </w:r>
    </w:p>
    <w:p w:rsidR="000E0616" w:rsidRPr="000E0616" w:rsidRDefault="000E0616" w:rsidP="000E0616">
      <w:pPr>
        <w:spacing w:after="0"/>
        <w:rPr>
          <w:rFonts w:ascii="Tahoma" w:hAnsi="Tahoma" w:cs="Tahoma"/>
        </w:rPr>
      </w:pPr>
      <w:r w:rsidRPr="000E0616">
        <w:rPr>
          <w:rFonts w:ascii="Tahoma" w:hAnsi="Tahoma" w:cs="Tahoma"/>
        </w:rPr>
        <w:t>B.  l’augmentation de l’insulinémie et de l’insulinosensiblité et la baisse de la glycémie au réveil et la nuit, la favorisation d’une insulinorésistance discrète par les hormones placentaires et l’augmentation des hormones de contre – régulation glycémique.</w:t>
      </w:r>
    </w:p>
    <w:p w:rsidR="000E0616" w:rsidRPr="000E0616" w:rsidRDefault="000E0616" w:rsidP="000E0616">
      <w:pPr>
        <w:spacing w:after="0"/>
        <w:rPr>
          <w:rFonts w:ascii="Tahoma" w:hAnsi="Tahoma" w:cs="Tahoma"/>
        </w:rPr>
      </w:pPr>
      <w:r w:rsidRPr="000E0616">
        <w:rPr>
          <w:rFonts w:ascii="Tahoma" w:hAnsi="Tahoma" w:cs="Tahoma"/>
        </w:rPr>
        <w:t>C.  la diminution de la tolérance au glycose au cours de la grossesse normale, et l’insuffisance de l’insulinosécrétion en cas de fonction pancréatique déficiente.</w:t>
      </w:r>
    </w:p>
    <w:p w:rsidR="000E0616" w:rsidRPr="000E0616" w:rsidRDefault="000E0616" w:rsidP="000E0616">
      <w:pPr>
        <w:spacing w:after="0"/>
        <w:rPr>
          <w:rFonts w:ascii="Tahoma" w:hAnsi="Tahoma" w:cs="Tahoma"/>
        </w:rPr>
      </w:pPr>
      <w:r w:rsidRPr="000E0616">
        <w:rPr>
          <w:rFonts w:ascii="Tahoma" w:hAnsi="Tahoma" w:cs="Tahoma"/>
        </w:rPr>
        <w:t>D.  le passage du glucose, des corps cétoniques, des acides gras libres, des acides aminés de la barrière hématoplacentaire et l’absence totale d’intérêt de la glycosurie.</w:t>
      </w:r>
    </w:p>
    <w:p w:rsidR="000E0616" w:rsidRPr="000E0616" w:rsidRDefault="000E0616" w:rsidP="000E0616">
      <w:pPr>
        <w:spacing w:after="0"/>
        <w:rPr>
          <w:rFonts w:ascii="Tahoma" w:hAnsi="Tahoma" w:cs="Tahoma"/>
        </w:rPr>
      </w:pPr>
      <w:r w:rsidRPr="000E0616">
        <w:rPr>
          <w:rFonts w:ascii="Tahoma" w:hAnsi="Tahoma" w:cs="Tahoma"/>
        </w:rPr>
        <w:t>E.  une tendance hypo-glycémique initiale et puis une tendance à hyperglycémie à partir du 2 trimestre.</w:t>
      </w:r>
    </w:p>
    <w:p w:rsidR="000E0616" w:rsidRPr="000E0616" w:rsidRDefault="000E0616" w:rsidP="000E0616">
      <w:pPr>
        <w:spacing w:after="0"/>
        <w:rPr>
          <w:rFonts w:ascii="Tahoma" w:hAnsi="Tahoma" w:cs="Tahoma"/>
          <w:b/>
          <w:bCs/>
        </w:rPr>
      </w:pPr>
      <w:r w:rsidRPr="000E0616">
        <w:rPr>
          <w:rFonts w:ascii="Tahoma" w:hAnsi="Tahoma" w:cs="Tahoma"/>
          <w:b/>
          <w:bCs/>
        </w:rPr>
        <w:t xml:space="preserve">5- En cas de diabète pré-gestationnel, pour que la prise en charge soit le mieux complète devrait comporter les stratégies suivantes : </w:t>
      </w:r>
    </w:p>
    <w:p w:rsidR="000E0616" w:rsidRPr="000E0616" w:rsidRDefault="000E0616" w:rsidP="000E0616">
      <w:pPr>
        <w:spacing w:after="0"/>
        <w:rPr>
          <w:rFonts w:ascii="Tahoma" w:hAnsi="Tahoma" w:cs="Tahoma"/>
        </w:rPr>
      </w:pPr>
      <w:r w:rsidRPr="000E0616">
        <w:rPr>
          <w:rFonts w:ascii="Tahoma" w:hAnsi="Tahoma" w:cs="Tahoma"/>
        </w:rPr>
        <w:t xml:space="preserve">A. optimiser l’équilibre glycémique au moins 3 mois avant la conception et anticiper une prise en charge multidisciplinaire. </w:t>
      </w:r>
    </w:p>
    <w:p w:rsidR="000E0616" w:rsidRPr="000E0616" w:rsidRDefault="000E0616" w:rsidP="000E0616">
      <w:pPr>
        <w:spacing w:after="0"/>
        <w:rPr>
          <w:rFonts w:ascii="Tahoma" w:hAnsi="Tahoma" w:cs="Tahoma"/>
        </w:rPr>
      </w:pPr>
      <w:r w:rsidRPr="000E0616">
        <w:rPr>
          <w:rFonts w:ascii="Tahoma" w:hAnsi="Tahoma" w:cs="Tahoma"/>
        </w:rPr>
        <w:t>B. faire le bilan du retentissement du diabète, fixer et obtenir un contrôle glycémique strict HbA1c &lt; 6,5 %.</w:t>
      </w:r>
    </w:p>
    <w:p w:rsidR="000E0616" w:rsidRPr="000E0616" w:rsidRDefault="000E0616" w:rsidP="000E0616">
      <w:pPr>
        <w:spacing w:after="0"/>
        <w:rPr>
          <w:rFonts w:ascii="Tahoma" w:hAnsi="Tahoma" w:cs="Tahoma"/>
        </w:rPr>
      </w:pPr>
      <w:r w:rsidRPr="000E0616">
        <w:rPr>
          <w:rFonts w:ascii="Tahoma" w:hAnsi="Tahoma" w:cs="Tahoma"/>
        </w:rPr>
        <w:t>C. arrêter les antidiabétiques oraux ou modifier l’insulinothérapie en respectant les contre-indications.</w:t>
      </w:r>
    </w:p>
    <w:p w:rsidR="000E0616" w:rsidRPr="000E0616" w:rsidRDefault="000E0616" w:rsidP="000E0616">
      <w:pPr>
        <w:spacing w:after="0"/>
        <w:rPr>
          <w:rFonts w:ascii="Tahoma" w:hAnsi="Tahoma" w:cs="Tahoma"/>
        </w:rPr>
      </w:pPr>
      <w:r w:rsidRPr="000E0616">
        <w:rPr>
          <w:rFonts w:ascii="Tahoma" w:hAnsi="Tahoma" w:cs="Tahoma"/>
        </w:rPr>
        <w:t>D. faire une prise en charge préconceptionnelle et multidisciplinaire, faire le bilan du retentissement du diabète, obtenir un contrôle glycémique strict HbA1c &lt; 6,5 %, débuter ou modifier une insulinothérapie.</w:t>
      </w:r>
    </w:p>
    <w:p w:rsidR="00E62066" w:rsidRPr="000E0616" w:rsidRDefault="000E0616" w:rsidP="000E0616">
      <w:pPr>
        <w:spacing w:after="0"/>
        <w:rPr>
          <w:rFonts w:ascii="Tahoma" w:hAnsi="Tahoma" w:cs="Tahoma"/>
          <w:sz w:val="20"/>
          <w:szCs w:val="20"/>
        </w:rPr>
      </w:pPr>
      <w:r w:rsidRPr="000E0616">
        <w:rPr>
          <w:rFonts w:ascii="Tahoma" w:hAnsi="Tahoma" w:cs="Tahoma"/>
        </w:rPr>
        <w:t>E. faire une autosurveillance glycémique pluriquotidienne et prescrire des antidiabétiques oraux et indiquer de l’insuline dès que Gj est supérieur à 1, 30 g/l.</w:t>
      </w:r>
    </w:p>
    <w:sectPr w:rsidR="00E62066" w:rsidRPr="000E0616" w:rsidSect="000E0616">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04D" w:rsidRDefault="00DE604D" w:rsidP="00863C1D">
      <w:pPr>
        <w:spacing w:after="0" w:line="240" w:lineRule="auto"/>
      </w:pPr>
      <w:r>
        <w:separator/>
      </w:r>
    </w:p>
  </w:endnote>
  <w:endnote w:type="continuationSeparator" w:id="0">
    <w:p w:rsidR="00DE604D" w:rsidRDefault="00DE604D" w:rsidP="00863C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pace Ranger">
    <w:panose1 w:val="00000000000000000000"/>
    <w:charset w:val="00"/>
    <w:family w:val="auto"/>
    <w:pitch w:val="variable"/>
    <w:sig w:usb0="80000007"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807"/>
      <w:gridCol w:w="1068"/>
      <w:gridCol w:w="4807"/>
    </w:tblGrid>
    <w:tr w:rsidR="00DA0EDB">
      <w:trPr>
        <w:trHeight w:val="151"/>
      </w:trPr>
      <w:tc>
        <w:tcPr>
          <w:tcW w:w="2250" w:type="pct"/>
          <w:tcBorders>
            <w:bottom w:val="single" w:sz="4" w:space="0" w:color="53548A" w:themeColor="accent1"/>
          </w:tcBorders>
        </w:tcPr>
        <w:p w:rsidR="00DA0EDB" w:rsidRDefault="00DA0EDB">
          <w:pPr>
            <w:pStyle w:val="En-tte"/>
            <w:rPr>
              <w:rFonts w:asciiTheme="majorHAnsi" w:eastAsiaTheme="majorEastAsia" w:hAnsiTheme="majorHAnsi" w:cstheme="majorBidi"/>
              <w:b/>
              <w:bCs/>
            </w:rPr>
          </w:pPr>
        </w:p>
      </w:tc>
      <w:tc>
        <w:tcPr>
          <w:tcW w:w="500" w:type="pct"/>
          <w:vMerge w:val="restart"/>
          <w:noWrap/>
          <w:vAlign w:val="center"/>
        </w:tcPr>
        <w:p w:rsidR="00DA0EDB" w:rsidRDefault="00DA0EDB">
          <w:pPr>
            <w:pStyle w:val="Sansinterligne"/>
            <w:rPr>
              <w:rFonts w:asciiTheme="majorHAnsi" w:hAnsiTheme="majorHAnsi"/>
            </w:rPr>
          </w:pPr>
          <w:r>
            <w:rPr>
              <w:rFonts w:asciiTheme="majorHAnsi" w:hAnsiTheme="majorHAnsi"/>
              <w:b/>
            </w:rPr>
            <w:t xml:space="preserve">Page </w:t>
          </w:r>
          <w:fldSimple w:instr=" PAGE  \* MERGEFORMAT ">
            <w:r w:rsidR="00DE604D" w:rsidRPr="00DE604D">
              <w:rPr>
                <w:rFonts w:asciiTheme="majorHAnsi" w:hAnsiTheme="majorHAnsi"/>
                <w:b/>
                <w:noProof/>
              </w:rPr>
              <w:t>1</w:t>
            </w:r>
          </w:fldSimple>
        </w:p>
      </w:tc>
      <w:tc>
        <w:tcPr>
          <w:tcW w:w="2250" w:type="pct"/>
          <w:tcBorders>
            <w:bottom w:val="single" w:sz="4" w:space="0" w:color="53548A" w:themeColor="accent1"/>
          </w:tcBorders>
        </w:tcPr>
        <w:p w:rsidR="00DA0EDB" w:rsidRDefault="00DA0EDB">
          <w:pPr>
            <w:pStyle w:val="En-tte"/>
            <w:rPr>
              <w:rFonts w:asciiTheme="majorHAnsi" w:eastAsiaTheme="majorEastAsia" w:hAnsiTheme="majorHAnsi" w:cstheme="majorBidi"/>
              <w:b/>
              <w:bCs/>
            </w:rPr>
          </w:pPr>
        </w:p>
      </w:tc>
    </w:tr>
    <w:tr w:rsidR="00DA0EDB">
      <w:trPr>
        <w:trHeight w:val="150"/>
      </w:trPr>
      <w:tc>
        <w:tcPr>
          <w:tcW w:w="2250" w:type="pct"/>
          <w:tcBorders>
            <w:top w:val="single" w:sz="4" w:space="0" w:color="53548A" w:themeColor="accent1"/>
          </w:tcBorders>
        </w:tcPr>
        <w:p w:rsidR="00DA0EDB" w:rsidRDefault="00DA0EDB">
          <w:pPr>
            <w:pStyle w:val="En-tte"/>
            <w:rPr>
              <w:rFonts w:asciiTheme="majorHAnsi" w:eastAsiaTheme="majorEastAsia" w:hAnsiTheme="majorHAnsi" w:cstheme="majorBidi"/>
              <w:b/>
              <w:bCs/>
            </w:rPr>
          </w:pPr>
        </w:p>
      </w:tc>
      <w:tc>
        <w:tcPr>
          <w:tcW w:w="500" w:type="pct"/>
          <w:vMerge/>
        </w:tcPr>
        <w:p w:rsidR="00DA0EDB" w:rsidRDefault="00DA0EDB">
          <w:pPr>
            <w:pStyle w:val="En-tte"/>
            <w:jc w:val="center"/>
            <w:rPr>
              <w:rFonts w:asciiTheme="majorHAnsi" w:eastAsiaTheme="majorEastAsia" w:hAnsiTheme="majorHAnsi" w:cstheme="majorBidi"/>
              <w:b/>
              <w:bCs/>
            </w:rPr>
          </w:pPr>
        </w:p>
      </w:tc>
      <w:tc>
        <w:tcPr>
          <w:tcW w:w="2250" w:type="pct"/>
          <w:tcBorders>
            <w:top w:val="single" w:sz="4" w:space="0" w:color="53548A" w:themeColor="accent1"/>
          </w:tcBorders>
        </w:tcPr>
        <w:p w:rsidR="00DA0EDB" w:rsidRDefault="00DA0EDB">
          <w:pPr>
            <w:pStyle w:val="En-tte"/>
            <w:rPr>
              <w:rFonts w:asciiTheme="majorHAnsi" w:eastAsiaTheme="majorEastAsia" w:hAnsiTheme="majorHAnsi" w:cstheme="majorBidi"/>
              <w:b/>
              <w:bCs/>
            </w:rPr>
          </w:pPr>
        </w:p>
      </w:tc>
    </w:tr>
  </w:tbl>
  <w:p w:rsidR="00DA0EDB" w:rsidRDefault="00DA0EDB">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04D" w:rsidRDefault="00DE604D" w:rsidP="00863C1D">
      <w:pPr>
        <w:spacing w:after="0" w:line="240" w:lineRule="auto"/>
      </w:pPr>
      <w:r>
        <w:separator/>
      </w:r>
    </w:p>
  </w:footnote>
  <w:footnote w:type="continuationSeparator" w:id="0">
    <w:p w:rsidR="00DE604D" w:rsidRDefault="00DE604D" w:rsidP="00863C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04156"/>
    <w:multiLevelType w:val="hybridMultilevel"/>
    <w:tmpl w:val="9208C726"/>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nsid w:val="116B6516"/>
    <w:multiLevelType w:val="hybridMultilevel"/>
    <w:tmpl w:val="637CFF0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2A036BE"/>
    <w:multiLevelType w:val="hybridMultilevel"/>
    <w:tmpl w:val="8EF6F3E0"/>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BBA56BA"/>
    <w:multiLevelType w:val="hybridMultilevel"/>
    <w:tmpl w:val="CA2CAA44"/>
    <w:lvl w:ilvl="0" w:tplc="AA88AA5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4FD2E0A"/>
    <w:multiLevelType w:val="hybridMultilevel"/>
    <w:tmpl w:val="D24E7334"/>
    <w:lvl w:ilvl="0" w:tplc="5672A4E8">
      <w:start w:val="7"/>
      <w:numFmt w:val="decimal"/>
      <w:lvlText w:val="%1-"/>
      <w:lvlJc w:val="left"/>
      <w:pPr>
        <w:ind w:left="720" w:hanging="360"/>
      </w:pPr>
      <w:rPr>
        <w:rFonts w:ascii="Helvetica" w:hAnsi="Helvetica" w:cs="Helvetica" w:hint="default"/>
        <w:color w:val="141823"/>
        <w:sz w:val="2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C1F60E5"/>
    <w:multiLevelType w:val="hybridMultilevel"/>
    <w:tmpl w:val="D6E48964"/>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CDA68B1"/>
    <w:multiLevelType w:val="hybridMultilevel"/>
    <w:tmpl w:val="3F1A15D4"/>
    <w:lvl w:ilvl="0" w:tplc="86AACB3E">
      <w:start w:val="1"/>
      <w:numFmt w:val="upperLetter"/>
      <w:lvlText w:val="%1."/>
      <w:lvlJc w:val="right"/>
      <w:pPr>
        <w:ind w:left="720" w:hanging="360"/>
      </w:pPr>
      <w:rPr>
        <w:rFont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4816E25"/>
    <w:multiLevelType w:val="hybridMultilevel"/>
    <w:tmpl w:val="B650C314"/>
    <w:lvl w:ilvl="0" w:tplc="040C0015">
      <w:start w:val="1"/>
      <w:numFmt w:val="upp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36A46DB0"/>
    <w:multiLevelType w:val="hybridMultilevel"/>
    <w:tmpl w:val="BF9A0B40"/>
    <w:lvl w:ilvl="0" w:tplc="7FF8E10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C3C0A3A"/>
    <w:multiLevelType w:val="hybridMultilevel"/>
    <w:tmpl w:val="D1380D1E"/>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nsid w:val="40A66CC8"/>
    <w:multiLevelType w:val="hybridMultilevel"/>
    <w:tmpl w:val="F50463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73D38F5"/>
    <w:multiLevelType w:val="hybridMultilevel"/>
    <w:tmpl w:val="D0BC32B2"/>
    <w:lvl w:ilvl="0" w:tplc="F2EC075C">
      <w:start w:val="19"/>
      <w:numFmt w:val="bullet"/>
      <w:lvlText w:val=""/>
      <w:lvlJc w:val="left"/>
      <w:pPr>
        <w:ind w:left="720" w:hanging="360"/>
      </w:pPr>
      <w:rPr>
        <w:rFonts w:ascii="Wingdings" w:eastAsiaTheme="minorHAnsi"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ABA075C"/>
    <w:multiLevelType w:val="hybridMultilevel"/>
    <w:tmpl w:val="19402354"/>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nsid w:val="505D34EA"/>
    <w:multiLevelType w:val="hybridMultilevel"/>
    <w:tmpl w:val="656E8D30"/>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nsid w:val="523C1D0A"/>
    <w:multiLevelType w:val="hybridMultilevel"/>
    <w:tmpl w:val="9AD6A018"/>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60F01FBB"/>
    <w:multiLevelType w:val="hybridMultilevel"/>
    <w:tmpl w:val="1F2AFAD0"/>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63335FC2"/>
    <w:multiLevelType w:val="hybridMultilevel"/>
    <w:tmpl w:val="E3781ABA"/>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72075920"/>
    <w:multiLevelType w:val="hybridMultilevel"/>
    <w:tmpl w:val="B0C4F056"/>
    <w:lvl w:ilvl="0" w:tplc="86AACB3E">
      <w:start w:val="1"/>
      <w:numFmt w:val="upperLetter"/>
      <w:lvlText w:val="%1."/>
      <w:lvlJc w:val="righ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73C77906"/>
    <w:multiLevelType w:val="hybridMultilevel"/>
    <w:tmpl w:val="10E803F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nsid w:val="78761B73"/>
    <w:multiLevelType w:val="hybridMultilevel"/>
    <w:tmpl w:val="FC482306"/>
    <w:lvl w:ilvl="0" w:tplc="422A9FFC">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18"/>
  </w:num>
  <w:num w:numId="4">
    <w:abstractNumId w:val="9"/>
  </w:num>
  <w:num w:numId="5">
    <w:abstractNumId w:val="13"/>
  </w:num>
  <w:num w:numId="6">
    <w:abstractNumId w:val="0"/>
  </w:num>
  <w:num w:numId="7">
    <w:abstractNumId w:val="3"/>
  </w:num>
  <w:num w:numId="8">
    <w:abstractNumId w:val="8"/>
  </w:num>
  <w:num w:numId="9">
    <w:abstractNumId w:val="14"/>
  </w:num>
  <w:num w:numId="10">
    <w:abstractNumId w:val="5"/>
  </w:num>
  <w:num w:numId="11">
    <w:abstractNumId w:val="15"/>
  </w:num>
  <w:num w:numId="12">
    <w:abstractNumId w:val="2"/>
  </w:num>
  <w:num w:numId="13">
    <w:abstractNumId w:val="16"/>
  </w:num>
  <w:num w:numId="14">
    <w:abstractNumId w:val="10"/>
  </w:num>
  <w:num w:numId="15">
    <w:abstractNumId w:val="6"/>
  </w:num>
  <w:num w:numId="16">
    <w:abstractNumId w:val="17"/>
  </w:num>
  <w:num w:numId="17">
    <w:abstractNumId w:val="1"/>
  </w:num>
  <w:num w:numId="18">
    <w:abstractNumId w:val="19"/>
  </w:num>
  <w:num w:numId="19">
    <w:abstractNumId w:val="4"/>
  </w:num>
  <w:num w:numId="20">
    <w:abstractNumId w:val="1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rsids>
    <w:rsidRoot w:val="00DA7FA5"/>
    <w:rsid w:val="0000451E"/>
    <w:rsid w:val="00014371"/>
    <w:rsid w:val="00021BCF"/>
    <w:rsid w:val="00023DD1"/>
    <w:rsid w:val="0003194A"/>
    <w:rsid w:val="000350B2"/>
    <w:rsid w:val="00053DC5"/>
    <w:rsid w:val="00060BA3"/>
    <w:rsid w:val="00076886"/>
    <w:rsid w:val="00084C5E"/>
    <w:rsid w:val="00096661"/>
    <w:rsid w:val="000C41BB"/>
    <w:rsid w:val="000E0616"/>
    <w:rsid w:val="00116452"/>
    <w:rsid w:val="001403AB"/>
    <w:rsid w:val="00141611"/>
    <w:rsid w:val="0016169A"/>
    <w:rsid w:val="00162DCC"/>
    <w:rsid w:val="001838BA"/>
    <w:rsid w:val="00197E11"/>
    <w:rsid w:val="001B2C72"/>
    <w:rsid w:val="00206CEE"/>
    <w:rsid w:val="00220D04"/>
    <w:rsid w:val="00230101"/>
    <w:rsid w:val="00231083"/>
    <w:rsid w:val="00247572"/>
    <w:rsid w:val="00273F79"/>
    <w:rsid w:val="002C06E5"/>
    <w:rsid w:val="002C5B17"/>
    <w:rsid w:val="00320848"/>
    <w:rsid w:val="00336B18"/>
    <w:rsid w:val="003861AD"/>
    <w:rsid w:val="00420BA3"/>
    <w:rsid w:val="00455B74"/>
    <w:rsid w:val="004773BC"/>
    <w:rsid w:val="004A0F9E"/>
    <w:rsid w:val="00511E34"/>
    <w:rsid w:val="0052620E"/>
    <w:rsid w:val="00535189"/>
    <w:rsid w:val="00573B43"/>
    <w:rsid w:val="00576BD9"/>
    <w:rsid w:val="005805A8"/>
    <w:rsid w:val="005F478A"/>
    <w:rsid w:val="005F5BBC"/>
    <w:rsid w:val="00610126"/>
    <w:rsid w:val="006178D1"/>
    <w:rsid w:val="00661ABF"/>
    <w:rsid w:val="0067259E"/>
    <w:rsid w:val="00674939"/>
    <w:rsid w:val="00685928"/>
    <w:rsid w:val="00696B27"/>
    <w:rsid w:val="006E20A1"/>
    <w:rsid w:val="0079788E"/>
    <w:rsid w:val="007C2085"/>
    <w:rsid w:val="007D510E"/>
    <w:rsid w:val="008409C6"/>
    <w:rsid w:val="00863C1D"/>
    <w:rsid w:val="00870750"/>
    <w:rsid w:val="008A548D"/>
    <w:rsid w:val="008B798F"/>
    <w:rsid w:val="00910178"/>
    <w:rsid w:val="00922B75"/>
    <w:rsid w:val="00975EB1"/>
    <w:rsid w:val="009967D1"/>
    <w:rsid w:val="009A3FAD"/>
    <w:rsid w:val="009E7A10"/>
    <w:rsid w:val="009F104D"/>
    <w:rsid w:val="00A03CBD"/>
    <w:rsid w:val="00A22F1B"/>
    <w:rsid w:val="00A23A98"/>
    <w:rsid w:val="00A55D74"/>
    <w:rsid w:val="00A63F7A"/>
    <w:rsid w:val="00A67D31"/>
    <w:rsid w:val="00A749AB"/>
    <w:rsid w:val="00A9099B"/>
    <w:rsid w:val="00AA7A56"/>
    <w:rsid w:val="00AB3719"/>
    <w:rsid w:val="00B32852"/>
    <w:rsid w:val="00B347BD"/>
    <w:rsid w:val="00B35C40"/>
    <w:rsid w:val="00B53CCA"/>
    <w:rsid w:val="00BA1D80"/>
    <w:rsid w:val="00BA5B49"/>
    <w:rsid w:val="00BC5A9C"/>
    <w:rsid w:val="00BE0DF5"/>
    <w:rsid w:val="00C15ABD"/>
    <w:rsid w:val="00C66D6A"/>
    <w:rsid w:val="00C7082F"/>
    <w:rsid w:val="00C71F34"/>
    <w:rsid w:val="00C76B91"/>
    <w:rsid w:val="00C8478C"/>
    <w:rsid w:val="00CC2D8C"/>
    <w:rsid w:val="00CC4797"/>
    <w:rsid w:val="00CD5DE4"/>
    <w:rsid w:val="00CE4586"/>
    <w:rsid w:val="00CE70BE"/>
    <w:rsid w:val="00D06E14"/>
    <w:rsid w:val="00D10C52"/>
    <w:rsid w:val="00D114E7"/>
    <w:rsid w:val="00D15A53"/>
    <w:rsid w:val="00D365BD"/>
    <w:rsid w:val="00D91752"/>
    <w:rsid w:val="00D95F43"/>
    <w:rsid w:val="00DA0EDB"/>
    <w:rsid w:val="00DA6179"/>
    <w:rsid w:val="00DA7FA5"/>
    <w:rsid w:val="00DE604D"/>
    <w:rsid w:val="00E002F0"/>
    <w:rsid w:val="00E017FC"/>
    <w:rsid w:val="00E04A41"/>
    <w:rsid w:val="00E052E7"/>
    <w:rsid w:val="00E30B1E"/>
    <w:rsid w:val="00E55294"/>
    <w:rsid w:val="00E62066"/>
    <w:rsid w:val="00E646FD"/>
    <w:rsid w:val="00E74A15"/>
    <w:rsid w:val="00E76238"/>
    <w:rsid w:val="00E97A12"/>
    <w:rsid w:val="00EB7016"/>
    <w:rsid w:val="00ED491D"/>
    <w:rsid w:val="00F14EF0"/>
    <w:rsid w:val="00F20854"/>
    <w:rsid w:val="00F22F8D"/>
    <w:rsid w:val="00F334B1"/>
    <w:rsid w:val="00F65110"/>
    <w:rsid w:val="00F842D7"/>
    <w:rsid w:val="00FA12E9"/>
    <w:rsid w:val="00FC6A0D"/>
    <w:rsid w:val="00FD2C2A"/>
    <w:rsid w:val="00FD74EF"/>
    <w:rsid w:val="00FD7CA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DE4"/>
  </w:style>
  <w:style w:type="paragraph" w:styleId="Titre3">
    <w:name w:val="heading 3"/>
    <w:basedOn w:val="Normal"/>
    <w:link w:val="Titre3Car"/>
    <w:uiPriority w:val="9"/>
    <w:qFormat/>
    <w:rsid w:val="00DA7FA5"/>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DA7FA5"/>
    <w:rPr>
      <w:rFonts w:ascii="Times New Roman" w:eastAsia="Times New Roman" w:hAnsi="Times New Roman" w:cs="Times New Roman"/>
      <w:b/>
      <w:bCs/>
      <w:sz w:val="27"/>
      <w:szCs w:val="27"/>
      <w:lang w:eastAsia="fr-FR"/>
    </w:rPr>
  </w:style>
  <w:style w:type="paragraph" w:styleId="NormalWeb">
    <w:name w:val="Normal (Web)"/>
    <w:basedOn w:val="Normal"/>
    <w:uiPriority w:val="99"/>
    <w:semiHidden/>
    <w:unhideWhenUsed/>
    <w:rsid w:val="00DA7FA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DA7FA5"/>
    <w:rPr>
      <w:i/>
      <w:iCs/>
    </w:rPr>
  </w:style>
  <w:style w:type="character" w:customStyle="1" w:styleId="apple-converted-space">
    <w:name w:val="apple-converted-space"/>
    <w:basedOn w:val="Policepardfaut"/>
    <w:rsid w:val="00DA7FA5"/>
  </w:style>
  <w:style w:type="paragraph" w:styleId="Textedebulles">
    <w:name w:val="Balloon Text"/>
    <w:basedOn w:val="Normal"/>
    <w:link w:val="TextedebullesCar"/>
    <w:uiPriority w:val="99"/>
    <w:semiHidden/>
    <w:unhideWhenUsed/>
    <w:rsid w:val="00DA7FA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A7FA5"/>
    <w:rPr>
      <w:rFonts w:ascii="Tahoma" w:hAnsi="Tahoma" w:cs="Tahoma"/>
      <w:sz w:val="16"/>
      <w:szCs w:val="16"/>
    </w:rPr>
  </w:style>
  <w:style w:type="character" w:styleId="lev">
    <w:name w:val="Strong"/>
    <w:basedOn w:val="Policepardfaut"/>
    <w:uiPriority w:val="22"/>
    <w:qFormat/>
    <w:rsid w:val="00F842D7"/>
    <w:rPr>
      <w:b/>
      <w:bCs/>
    </w:rPr>
  </w:style>
  <w:style w:type="paragraph" w:styleId="En-tte">
    <w:name w:val="header"/>
    <w:basedOn w:val="Normal"/>
    <w:link w:val="En-tteCar"/>
    <w:uiPriority w:val="99"/>
    <w:unhideWhenUsed/>
    <w:rsid w:val="00863C1D"/>
    <w:pPr>
      <w:tabs>
        <w:tab w:val="center" w:pos="4536"/>
        <w:tab w:val="right" w:pos="9072"/>
      </w:tabs>
      <w:spacing w:after="0" w:line="240" w:lineRule="auto"/>
    </w:pPr>
  </w:style>
  <w:style w:type="character" w:customStyle="1" w:styleId="En-tteCar">
    <w:name w:val="En-tête Car"/>
    <w:basedOn w:val="Policepardfaut"/>
    <w:link w:val="En-tte"/>
    <w:uiPriority w:val="99"/>
    <w:rsid w:val="00863C1D"/>
  </w:style>
  <w:style w:type="paragraph" w:styleId="Pieddepage">
    <w:name w:val="footer"/>
    <w:basedOn w:val="Normal"/>
    <w:link w:val="PieddepageCar"/>
    <w:uiPriority w:val="99"/>
    <w:semiHidden/>
    <w:unhideWhenUsed/>
    <w:rsid w:val="00863C1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863C1D"/>
  </w:style>
  <w:style w:type="paragraph" w:styleId="Paragraphedeliste">
    <w:name w:val="List Paragraph"/>
    <w:basedOn w:val="Normal"/>
    <w:uiPriority w:val="34"/>
    <w:qFormat/>
    <w:rsid w:val="00A23A98"/>
    <w:pPr>
      <w:ind w:left="720"/>
      <w:contextualSpacing/>
    </w:pPr>
  </w:style>
  <w:style w:type="paragraph" w:styleId="Sansinterligne">
    <w:name w:val="No Spacing"/>
    <w:link w:val="SansinterligneCar"/>
    <w:uiPriority w:val="1"/>
    <w:qFormat/>
    <w:rsid w:val="00DA0EDB"/>
    <w:pPr>
      <w:spacing w:after="0" w:line="240" w:lineRule="auto"/>
    </w:pPr>
    <w:rPr>
      <w:rFonts w:eastAsiaTheme="minorEastAsia"/>
    </w:rPr>
  </w:style>
  <w:style w:type="character" w:customStyle="1" w:styleId="SansinterligneCar">
    <w:name w:val="Sans interligne Car"/>
    <w:basedOn w:val="Policepardfaut"/>
    <w:link w:val="Sansinterligne"/>
    <w:uiPriority w:val="1"/>
    <w:rsid w:val="00DA0EDB"/>
    <w:rPr>
      <w:rFonts w:eastAsiaTheme="minorEastAsia"/>
    </w:rPr>
  </w:style>
  <w:style w:type="paragraph" w:styleId="z-Hautduformulaire">
    <w:name w:val="HTML Top of Form"/>
    <w:basedOn w:val="Normal"/>
    <w:next w:val="Normal"/>
    <w:link w:val="z-HautduformulaireCar"/>
    <w:hidden/>
    <w:uiPriority w:val="99"/>
    <w:semiHidden/>
    <w:unhideWhenUsed/>
    <w:rsid w:val="0067259E"/>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67259E"/>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semiHidden/>
    <w:unhideWhenUsed/>
    <w:rsid w:val="0067259E"/>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semiHidden/>
    <w:rsid w:val="0067259E"/>
    <w:rPr>
      <w:rFonts w:ascii="Arial" w:eastAsia="Times New Roman" w:hAnsi="Arial" w:cs="Arial"/>
      <w:vanish/>
      <w:sz w:val="16"/>
      <w:szCs w:val="16"/>
      <w:lang w:eastAsia="fr-FR"/>
    </w:rPr>
  </w:style>
  <w:style w:type="character" w:customStyle="1" w:styleId="textexposedshow">
    <w:name w:val="text_exposed_show"/>
    <w:basedOn w:val="Policepardfaut"/>
    <w:rsid w:val="00E30B1E"/>
  </w:style>
</w:styles>
</file>

<file path=word/webSettings.xml><?xml version="1.0" encoding="utf-8"?>
<w:webSettings xmlns:r="http://schemas.openxmlformats.org/officeDocument/2006/relationships" xmlns:w="http://schemas.openxmlformats.org/wordprocessingml/2006/main">
  <w:divs>
    <w:div w:id="995762530">
      <w:bodyDiv w:val="1"/>
      <w:marLeft w:val="0"/>
      <w:marRight w:val="0"/>
      <w:marTop w:val="0"/>
      <w:marBottom w:val="0"/>
      <w:divBdr>
        <w:top w:val="none" w:sz="0" w:space="0" w:color="auto"/>
        <w:left w:val="none" w:sz="0" w:space="0" w:color="auto"/>
        <w:bottom w:val="none" w:sz="0" w:space="0" w:color="auto"/>
        <w:right w:val="none" w:sz="0" w:space="0" w:color="auto"/>
      </w:divBdr>
    </w:div>
    <w:div w:id="1142193791">
      <w:bodyDiv w:val="1"/>
      <w:marLeft w:val="0"/>
      <w:marRight w:val="0"/>
      <w:marTop w:val="0"/>
      <w:marBottom w:val="0"/>
      <w:divBdr>
        <w:top w:val="none" w:sz="0" w:space="0" w:color="auto"/>
        <w:left w:val="none" w:sz="0" w:space="0" w:color="auto"/>
        <w:bottom w:val="none" w:sz="0" w:space="0" w:color="auto"/>
        <w:right w:val="none" w:sz="0" w:space="0" w:color="auto"/>
      </w:divBdr>
    </w:div>
    <w:div w:id="1327825950">
      <w:bodyDiv w:val="1"/>
      <w:marLeft w:val="0"/>
      <w:marRight w:val="0"/>
      <w:marTop w:val="0"/>
      <w:marBottom w:val="0"/>
      <w:divBdr>
        <w:top w:val="none" w:sz="0" w:space="0" w:color="auto"/>
        <w:left w:val="none" w:sz="0" w:space="0" w:color="auto"/>
        <w:bottom w:val="none" w:sz="0" w:space="0" w:color="auto"/>
        <w:right w:val="none" w:sz="0" w:space="0" w:color="auto"/>
      </w:divBdr>
      <w:divsChild>
        <w:div w:id="1300265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6664490">
      <w:bodyDiv w:val="1"/>
      <w:marLeft w:val="0"/>
      <w:marRight w:val="0"/>
      <w:marTop w:val="0"/>
      <w:marBottom w:val="0"/>
      <w:divBdr>
        <w:top w:val="none" w:sz="0" w:space="0" w:color="auto"/>
        <w:left w:val="none" w:sz="0" w:space="0" w:color="auto"/>
        <w:bottom w:val="none" w:sz="0" w:space="0" w:color="auto"/>
        <w:right w:val="none" w:sz="0" w:space="0" w:color="auto"/>
      </w:divBdr>
    </w:div>
    <w:div w:id="1544514345">
      <w:bodyDiv w:val="1"/>
      <w:marLeft w:val="0"/>
      <w:marRight w:val="0"/>
      <w:marTop w:val="0"/>
      <w:marBottom w:val="0"/>
      <w:divBdr>
        <w:top w:val="none" w:sz="0" w:space="0" w:color="auto"/>
        <w:left w:val="none" w:sz="0" w:space="0" w:color="auto"/>
        <w:bottom w:val="none" w:sz="0" w:space="0" w:color="auto"/>
        <w:right w:val="none" w:sz="0" w:space="0" w:color="auto"/>
      </w:divBdr>
    </w:div>
    <w:div w:id="1603762672">
      <w:bodyDiv w:val="1"/>
      <w:marLeft w:val="0"/>
      <w:marRight w:val="0"/>
      <w:marTop w:val="0"/>
      <w:marBottom w:val="0"/>
      <w:divBdr>
        <w:top w:val="none" w:sz="0" w:space="0" w:color="auto"/>
        <w:left w:val="none" w:sz="0" w:space="0" w:color="auto"/>
        <w:bottom w:val="none" w:sz="0" w:space="0" w:color="auto"/>
        <w:right w:val="none" w:sz="0" w:space="0" w:color="auto"/>
      </w:divBdr>
      <w:divsChild>
        <w:div w:id="11322841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5244545">
      <w:bodyDiv w:val="1"/>
      <w:marLeft w:val="0"/>
      <w:marRight w:val="0"/>
      <w:marTop w:val="0"/>
      <w:marBottom w:val="0"/>
      <w:divBdr>
        <w:top w:val="none" w:sz="0" w:space="0" w:color="auto"/>
        <w:left w:val="none" w:sz="0" w:space="0" w:color="auto"/>
        <w:bottom w:val="none" w:sz="0" w:space="0" w:color="auto"/>
        <w:right w:val="none" w:sz="0" w:space="0" w:color="auto"/>
      </w:divBdr>
    </w:div>
    <w:div w:id="1983541100">
      <w:bodyDiv w:val="1"/>
      <w:marLeft w:val="0"/>
      <w:marRight w:val="0"/>
      <w:marTop w:val="0"/>
      <w:marBottom w:val="0"/>
      <w:divBdr>
        <w:top w:val="none" w:sz="0" w:space="0" w:color="auto"/>
        <w:left w:val="none" w:sz="0" w:space="0" w:color="auto"/>
        <w:bottom w:val="none" w:sz="0" w:space="0" w:color="auto"/>
        <w:right w:val="none" w:sz="0" w:space="0" w:color="auto"/>
      </w:divBdr>
    </w:div>
    <w:div w:id="206020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Urbain">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14EFC-1926-4623-B58A-293E8EEBF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436</Words>
  <Characters>2402</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Aminou</dc:creator>
  <cp:lastModifiedBy>Aminou</cp:lastModifiedBy>
  <cp:revision>3</cp:revision>
  <cp:lastPrinted>2015-06-12T21:30:00Z</cp:lastPrinted>
  <dcterms:created xsi:type="dcterms:W3CDTF">2015-06-16T01:37:00Z</dcterms:created>
  <dcterms:modified xsi:type="dcterms:W3CDTF">2015-06-16T01:39:00Z</dcterms:modified>
</cp:coreProperties>
</file>